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Исполнение бюджета сельского поселения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Бузовьязовский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Кармаскалинский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район </w:t>
      </w:r>
      <w:r w:rsidR="00BB287F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Республики Башкортостан на 1 августа </w:t>
      </w: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2022 года</w:t>
      </w:r>
    </w:p>
    <w:p w:rsidR="00737DA1" w:rsidRP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1C4DCF" w:rsidRDefault="001C4DCF" w:rsidP="001C4DCF">
      <w:pPr>
        <w:pStyle w:val="af4"/>
        <w:shd w:val="clear" w:color="auto" w:fill="FFFFFF"/>
        <w:spacing w:before="0" w:beforeAutospacing="0" w:after="16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proofErr w:type="gramStart"/>
      <w:r>
        <w:rPr>
          <w:color w:val="000000"/>
          <w:sz w:val="29"/>
          <w:szCs w:val="29"/>
          <w:shd w:val="clear" w:color="auto" w:fill="FFFFFF"/>
        </w:rPr>
        <w:t>Исполнение  бюджета</w:t>
      </w:r>
      <w:r>
        <w:rPr>
          <w:color w:val="000000"/>
          <w:sz w:val="29"/>
          <w:szCs w:val="29"/>
        </w:rPr>
        <w:t xml:space="preserve"> 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июля 2022 года по доходам составило </w:t>
      </w:r>
      <w:r w:rsidR="00BB287F">
        <w:rPr>
          <w:color w:val="000000"/>
          <w:sz w:val="29"/>
          <w:szCs w:val="29"/>
        </w:rPr>
        <w:t>6944,3 тыс. рублей или 96,6</w:t>
      </w:r>
      <w:r>
        <w:rPr>
          <w:color w:val="000000"/>
          <w:sz w:val="29"/>
          <w:szCs w:val="29"/>
        </w:rPr>
        <w:t xml:space="preserve"> % к аналогичному периоду 2021 года, из них налоговые и неналоговые доходы составили </w:t>
      </w:r>
      <w:r w:rsidR="00BB287F">
        <w:rPr>
          <w:color w:val="000000"/>
          <w:sz w:val="29"/>
          <w:szCs w:val="29"/>
        </w:rPr>
        <w:t>1444,8</w:t>
      </w:r>
      <w:r>
        <w:rPr>
          <w:color w:val="000000"/>
          <w:sz w:val="29"/>
          <w:szCs w:val="29"/>
        </w:rPr>
        <w:t xml:space="preserve"> тыс. рублей, </w:t>
      </w:r>
      <w:proofErr w:type="spellStart"/>
      <w:r>
        <w:rPr>
          <w:color w:val="000000"/>
          <w:sz w:val="29"/>
          <w:szCs w:val="29"/>
        </w:rPr>
        <w:t>уменшилось</w:t>
      </w:r>
      <w:proofErr w:type="spellEnd"/>
      <w:r>
        <w:rPr>
          <w:color w:val="000000"/>
          <w:sz w:val="29"/>
          <w:szCs w:val="29"/>
        </w:rPr>
        <w:t xml:space="preserve"> по сравнению с поступлениями аналогичного периода 2021 года на </w:t>
      </w:r>
      <w:r w:rsidR="00BB287F">
        <w:rPr>
          <w:color w:val="000000"/>
          <w:sz w:val="29"/>
          <w:szCs w:val="29"/>
        </w:rPr>
        <w:t>807,4</w:t>
      </w:r>
      <w:r>
        <w:rPr>
          <w:color w:val="000000"/>
          <w:sz w:val="29"/>
          <w:szCs w:val="29"/>
        </w:rPr>
        <w:t xml:space="preserve"> тыс. рублей или на 64 %. Основными источниками доходов являются</w:t>
      </w:r>
      <w:proofErr w:type="gramEnd"/>
      <w:r>
        <w:rPr>
          <w:color w:val="000000"/>
          <w:sz w:val="29"/>
          <w:szCs w:val="29"/>
        </w:rPr>
        <w:t xml:space="preserve">: налог на имущество – </w:t>
      </w:r>
      <w:r w:rsidR="00BB287F">
        <w:rPr>
          <w:color w:val="000000"/>
          <w:sz w:val="29"/>
          <w:szCs w:val="29"/>
        </w:rPr>
        <w:t>359,6 тыс. рублей (24,9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доходы от оказания платных услуг и компенсации затрат – </w:t>
      </w:r>
      <w:r w:rsidR="00BB287F">
        <w:rPr>
          <w:color w:val="000000"/>
          <w:sz w:val="29"/>
          <w:szCs w:val="29"/>
        </w:rPr>
        <w:t>1000,9</w:t>
      </w:r>
      <w:r>
        <w:rPr>
          <w:color w:val="000000"/>
          <w:sz w:val="29"/>
          <w:szCs w:val="29"/>
        </w:rPr>
        <w:t xml:space="preserve"> тыс. </w:t>
      </w:r>
      <w:r w:rsidR="00BB287F">
        <w:rPr>
          <w:color w:val="000000"/>
          <w:sz w:val="29"/>
          <w:szCs w:val="29"/>
        </w:rPr>
        <w:t>рублей (69,3</w:t>
      </w:r>
      <w:r>
        <w:rPr>
          <w:color w:val="000000"/>
          <w:sz w:val="29"/>
          <w:szCs w:val="29"/>
        </w:rPr>
        <w:t>%)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>налог</w:t>
      </w:r>
      <w:r w:rsidR="00BB287F">
        <w:rPr>
          <w:color w:val="000000"/>
          <w:sz w:val="29"/>
          <w:szCs w:val="29"/>
        </w:rPr>
        <w:t xml:space="preserve"> на доходы физических лиц – 55,7 тыс. рублей (3,8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</w:t>
      </w:r>
      <w:r w:rsidR="00BB287F">
        <w:rPr>
          <w:color w:val="000000"/>
          <w:sz w:val="29"/>
          <w:szCs w:val="29"/>
        </w:rPr>
        <w:t>налоги на совокупный доход – 18,0 тыс. рублей (1,2</w:t>
      </w:r>
      <w:r>
        <w:rPr>
          <w:color w:val="000000"/>
          <w:sz w:val="29"/>
          <w:szCs w:val="29"/>
        </w:rPr>
        <w:t xml:space="preserve"> %), прочие неналоговые доходы – 0 тыс. </w:t>
      </w:r>
      <w:proofErr w:type="spellStart"/>
      <w:r>
        <w:rPr>
          <w:color w:val="000000"/>
          <w:sz w:val="29"/>
          <w:szCs w:val="29"/>
        </w:rPr>
        <w:t>руб</w:t>
      </w:r>
      <w:proofErr w:type="spellEnd"/>
      <w:proofErr w:type="gramStart"/>
      <w:r>
        <w:rPr>
          <w:color w:val="000000"/>
          <w:sz w:val="29"/>
          <w:szCs w:val="29"/>
        </w:rPr>
        <w:t xml:space="preserve"> (%</w:t>
      </w:r>
      <w:r w:rsidR="00BB287F">
        <w:rPr>
          <w:color w:val="000000"/>
          <w:sz w:val="29"/>
          <w:szCs w:val="29"/>
        </w:rPr>
        <w:t xml:space="preserve">) </w:t>
      </w:r>
      <w:proofErr w:type="gramEnd"/>
      <w:r w:rsidR="00BB287F">
        <w:rPr>
          <w:color w:val="000000"/>
          <w:sz w:val="29"/>
          <w:szCs w:val="29"/>
        </w:rPr>
        <w:t>государственная пошлина – 10,3</w:t>
      </w:r>
      <w:r>
        <w:rPr>
          <w:color w:val="000000"/>
          <w:sz w:val="29"/>
          <w:szCs w:val="29"/>
        </w:rPr>
        <w:t xml:space="preserve"> тыс. рублей (0,7% от общей суммы налоговых и неналоговых доходов).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Безвозмездные поступления из вышестоящих бюджетов в виде дотаций, субвенций, субсидий составили </w:t>
      </w:r>
      <w:r w:rsidR="00BB287F">
        <w:rPr>
          <w:color w:val="000000"/>
          <w:sz w:val="29"/>
          <w:szCs w:val="29"/>
        </w:rPr>
        <w:t>5499,4 тыс. рублей или 79,1</w:t>
      </w:r>
      <w:r>
        <w:rPr>
          <w:color w:val="000000"/>
          <w:sz w:val="29"/>
          <w:szCs w:val="29"/>
        </w:rPr>
        <w:t>% от общей суммы доходов, увеличившись по сравнению с уровнем аналогичног</w:t>
      </w:r>
      <w:r w:rsidR="00BB287F">
        <w:rPr>
          <w:color w:val="000000"/>
          <w:sz w:val="29"/>
          <w:szCs w:val="29"/>
        </w:rPr>
        <w:t>о периода 2021 года на  561,5тыс. рублей или на 11,3</w:t>
      </w:r>
      <w:r>
        <w:rPr>
          <w:color w:val="000000"/>
          <w:sz w:val="29"/>
          <w:szCs w:val="29"/>
        </w:rPr>
        <w:t xml:space="preserve"> %.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Расходы бюджета 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</w:t>
      </w:r>
      <w:r w:rsidR="00BB287F">
        <w:rPr>
          <w:color w:val="000000"/>
          <w:sz w:val="29"/>
          <w:szCs w:val="29"/>
        </w:rPr>
        <w:t>августа</w:t>
      </w:r>
      <w:r>
        <w:rPr>
          <w:color w:val="000000"/>
          <w:sz w:val="29"/>
          <w:szCs w:val="29"/>
        </w:rPr>
        <w:t xml:space="preserve">  2022 года составили </w:t>
      </w:r>
      <w:r w:rsidR="00BB287F">
        <w:rPr>
          <w:color w:val="000000"/>
          <w:sz w:val="29"/>
          <w:szCs w:val="29"/>
        </w:rPr>
        <w:t>5769,3 тыс. рублей или 89,9</w:t>
      </w:r>
      <w:r>
        <w:rPr>
          <w:color w:val="000000"/>
          <w:sz w:val="29"/>
          <w:szCs w:val="29"/>
        </w:rPr>
        <w:t xml:space="preserve">% к уровню аналогичного периода 2021 года. </w:t>
      </w:r>
      <w:proofErr w:type="gramStart"/>
      <w:r>
        <w:rPr>
          <w:color w:val="000000"/>
          <w:sz w:val="29"/>
          <w:szCs w:val="29"/>
        </w:rPr>
        <w:t xml:space="preserve">В отраслевой структуре расходов наибольший удельный вес занимает жилищно-коммунальное хозяйство – </w:t>
      </w:r>
      <w:r w:rsidR="00BB287F">
        <w:rPr>
          <w:color w:val="000000"/>
          <w:sz w:val="29"/>
          <w:szCs w:val="29"/>
        </w:rPr>
        <w:t>2614,3тыс. рублей (45</w:t>
      </w:r>
      <w:r>
        <w:rPr>
          <w:color w:val="000000"/>
          <w:sz w:val="29"/>
          <w:szCs w:val="29"/>
        </w:rPr>
        <w:t xml:space="preserve">,3%),   общегосударственные вопросы – </w:t>
      </w:r>
      <w:r w:rsidR="00BB287F">
        <w:rPr>
          <w:color w:val="000000"/>
          <w:sz w:val="29"/>
          <w:szCs w:val="29"/>
        </w:rPr>
        <w:t>2513,9 тыс. рублей (43,6</w:t>
      </w:r>
      <w:r>
        <w:rPr>
          <w:color w:val="000000"/>
          <w:sz w:val="29"/>
          <w:szCs w:val="29"/>
        </w:rPr>
        <w:t>%),   мероприятия по благоустройству населенных</w:t>
      </w:r>
      <w:r w:rsidR="00BB287F">
        <w:rPr>
          <w:color w:val="000000"/>
          <w:sz w:val="29"/>
          <w:szCs w:val="29"/>
        </w:rPr>
        <w:t xml:space="preserve"> пунктов – 903,2 тыс. рублей(16,2</w:t>
      </w:r>
      <w:r>
        <w:rPr>
          <w:color w:val="000000"/>
          <w:sz w:val="29"/>
          <w:szCs w:val="29"/>
        </w:rPr>
        <w:t xml:space="preserve">% от общей суммы расходов), дорожная деятельность – 0 тыс. руб. (%),   национальная безопасность и правоохранительная деятельность – </w:t>
      </w:r>
      <w:r w:rsidR="00BB287F">
        <w:rPr>
          <w:color w:val="000000"/>
          <w:sz w:val="29"/>
          <w:szCs w:val="29"/>
        </w:rPr>
        <w:t>342,9 тыс. рублей (5,9</w:t>
      </w:r>
      <w:bookmarkStart w:id="0" w:name="_GoBack"/>
      <w:bookmarkEnd w:id="0"/>
      <w:r>
        <w:rPr>
          <w:color w:val="000000"/>
          <w:sz w:val="29"/>
          <w:szCs w:val="29"/>
        </w:rPr>
        <w:t>%), национальная оборона – 23,9тыс. руб. (0,4%), охрана окружающей среды -0 тыс. руб. (0,0</w:t>
      </w:r>
      <w:proofErr w:type="gramEnd"/>
      <w:r>
        <w:rPr>
          <w:color w:val="000000"/>
          <w:sz w:val="29"/>
          <w:szCs w:val="29"/>
        </w:rPr>
        <w:t>%),</w:t>
      </w:r>
      <w:proofErr w:type="gramStart"/>
      <w:r>
        <w:rPr>
          <w:color w:val="000000"/>
          <w:sz w:val="29"/>
          <w:szCs w:val="29"/>
        </w:rPr>
        <w:t>образование-0</w:t>
      </w:r>
      <w:proofErr w:type="gramEnd"/>
      <w:r>
        <w:rPr>
          <w:color w:val="000000"/>
          <w:sz w:val="29"/>
          <w:szCs w:val="29"/>
        </w:rPr>
        <w:t xml:space="preserve"> </w:t>
      </w:r>
      <w:proofErr w:type="spellStart"/>
      <w:r>
        <w:rPr>
          <w:color w:val="000000"/>
          <w:sz w:val="29"/>
          <w:szCs w:val="29"/>
        </w:rPr>
        <w:t>тыс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уб</w:t>
      </w:r>
      <w:proofErr w:type="spellEnd"/>
      <w:r>
        <w:rPr>
          <w:color w:val="000000"/>
          <w:sz w:val="29"/>
          <w:szCs w:val="29"/>
        </w:rPr>
        <w:t xml:space="preserve"> (0,0%),физическая культура и спорт -0 тыс. руб. (0,0%).</w:t>
      </w:r>
    </w:p>
    <w:p w:rsidR="00A92F71" w:rsidRDefault="00A92F71"/>
    <w:sectPr w:rsidR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D"/>
    <w:rsid w:val="001C4DCF"/>
    <w:rsid w:val="0022584E"/>
    <w:rsid w:val="00302474"/>
    <w:rsid w:val="00737DA1"/>
    <w:rsid w:val="007470ED"/>
    <w:rsid w:val="008011DC"/>
    <w:rsid w:val="00A6200A"/>
    <w:rsid w:val="00A92F71"/>
    <w:rsid w:val="00BB287F"/>
    <w:rsid w:val="00C358FD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3</cp:revision>
  <dcterms:created xsi:type="dcterms:W3CDTF">2022-07-21T11:00:00Z</dcterms:created>
  <dcterms:modified xsi:type="dcterms:W3CDTF">2022-08-11T06:35:00Z</dcterms:modified>
</cp:coreProperties>
</file>